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6F62A6">
      <w:pPr>
        <w:tabs>
          <w:tab w:val="left" w:pos="1958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6F62A6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6F62A6" w:rsidRDefault="00FF5D64">
      <w:pPr>
        <w:spacing w:before="120" w:after="120"/>
        <w:ind w:left="567"/>
        <w:jc w:val="both"/>
        <w:rPr>
          <w:rFonts w:ascii="Liberation Serif" w:eastAsia="Times New Roman" w:hAnsi="Liberation Serif" w:cs="Liberation Serif"/>
          <w:b/>
          <w:bCs/>
          <w:sz w:val="42"/>
          <w:szCs w:val="42"/>
        </w:rPr>
      </w:pPr>
      <w:r>
        <w:rPr>
          <w:rFonts w:ascii="Liberation Serif" w:hAnsi="Liberation Serif" w:cs="Liberation Serif"/>
          <w:b/>
          <w:bCs/>
          <w:sz w:val="42"/>
          <w:szCs w:val="42"/>
        </w:rPr>
        <w:t>Технико-коммерческое предложение</w:t>
      </w:r>
    </w:p>
    <w:p w:rsidR="006F62A6" w:rsidRDefault="00FF5D64">
      <w:pPr>
        <w:pBdr>
          <w:top w:val="single" w:sz="4" w:space="0" w:color="000000"/>
          <w:bottom w:val="single" w:sz="4" w:space="0" w:color="000000"/>
        </w:pBdr>
        <w:rPr>
          <w:rFonts w:ascii="Liberation Serif" w:eastAsia="Times New Roman" w:hAnsi="Liberation Serif" w:cs="Liberation Serif"/>
        </w:rPr>
      </w:pPr>
      <w:r>
        <w:rPr>
          <w:rFonts w:ascii="Liberation Serif" w:eastAsia="Times New Roman" w:hAnsi="Liberation Serif" w:cs="Liberation Serif"/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19367</wp:posOffset>
                </wp:positionH>
                <wp:positionV relativeFrom="line">
                  <wp:posOffset>106361</wp:posOffset>
                </wp:positionV>
                <wp:extent cx="5953125" cy="0"/>
                <wp:effectExtent l="0" t="0" r="0" b="0"/>
                <wp:wrapNone/>
                <wp:docPr id="2" name="officeArt object" descr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hape 1" o:spid="_x0000_s1" style="position:absolute;left:0;text-align:left;z-index:251659264;mso-wrap-distance-left:0.00pt;mso-wrap-distance-top:0.00pt;mso-wrap-distance-right:0.00pt;mso-wrap-distance-bottom:0.00pt;visibility:visible;" from="1.5pt,8.4pt" to="470.3pt,8.4pt" filled="f" strokecolor="#4A7EBB" strokeweight="2.25pt">
                <v:stroke dashstyle="solid"/>
              </v:line>
            </w:pict>
          </mc:Fallback>
        </mc:AlternateContent>
      </w:r>
    </w:p>
    <w:p w:rsidR="006F62A6" w:rsidRDefault="00FF5D64">
      <w:pPr>
        <w:ind w:left="567"/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  <w:b/>
          <w:bCs/>
          <w:sz w:val="32"/>
          <w:szCs w:val="32"/>
        </w:rPr>
        <w:t>на предоставление права использования результата интеллектуальной деятельности (РИД) – программы для ЭВМ: «</w:t>
      </w:r>
      <w:bookmarkStart w:id="1" w:name="_Hlk105768623"/>
      <w:r>
        <w:rPr>
          <w:rFonts w:ascii="Liberation Serif" w:hAnsi="Liberation Serif" w:cs="Liberation Serif"/>
          <w:b/>
          <w:bCs/>
          <w:sz w:val="32"/>
          <w:szCs w:val="32"/>
        </w:rPr>
        <w:t>Типовая тиражная система финансово-экономического управления (ТТС ФЭУ)»</w:t>
      </w:r>
      <w:bookmarkEnd w:id="1"/>
      <w:r>
        <w:rPr>
          <w:rFonts w:ascii="Liberation Serif" w:hAnsi="Liberation Serif" w:cs="Liberation Serif"/>
          <w:b/>
          <w:bCs/>
          <w:sz w:val="32"/>
          <w:szCs w:val="32"/>
        </w:rPr>
        <w:t xml:space="preserve"> для </w:t>
      </w:r>
      <w:r>
        <w:rPr>
          <w:rFonts w:ascii="Liberation Serif" w:hAnsi="Liberation Serif" w:cs="Liberation Serif"/>
          <w:b/>
          <w:bCs/>
          <w:sz w:val="32"/>
          <w:szCs w:val="32"/>
        </w:rPr>
        <w:t>ПАО «Тамбовская энергосбытовая компания».</w:t>
      </w:r>
    </w:p>
    <w:p w:rsidR="006F62A6" w:rsidRDefault="006F62A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6F62A6" w:rsidRDefault="00FF5D64">
      <w:pPr>
        <w:spacing w:before="120" w:after="120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>
        <w:rPr>
          <w:rFonts w:ascii="Liberation Serif" w:eastAsia="Times New Roman" w:hAnsi="Liberation Serif" w:cs="Liberation Serif"/>
          <w:noProof/>
        </w:rPr>
        <mc:AlternateContent>
          <mc:Choice Requires="wpg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16802</wp:posOffset>
                </wp:positionH>
                <wp:positionV relativeFrom="line">
                  <wp:posOffset>252285</wp:posOffset>
                </wp:positionV>
                <wp:extent cx="1909267" cy="0"/>
                <wp:effectExtent l="0" t="0" r="0" b="0"/>
                <wp:wrapNone/>
                <wp:docPr id="3" name="officeArt object" descr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267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hape 2" o:spid="_x0000_s2" style="position:absolute;left:0;text-align:left;z-index:251660288;mso-wrap-distance-left:0.00pt;mso-wrap-distance-top:0.00pt;mso-wrap-distance-right:0.00pt;mso-wrap-distance-bottom:0.00pt;visibility:visible;" from="1.3pt,19.9pt" to="151.7pt,19.9pt" filled="f" strokecolor="#4A7EBB" strokeweight="2.25pt">
                <v:stroke dashstyle="solid"/>
              </v:line>
            </w:pict>
          </mc:Fallback>
        </mc:AlternateContent>
      </w:r>
      <w:r>
        <w:rPr>
          <w:rFonts w:ascii="Liberation Serif" w:hAnsi="Liberation Serif" w:cs="Liberation Serif"/>
          <w:b/>
          <w:bCs/>
          <w:sz w:val="28"/>
          <w:szCs w:val="28"/>
        </w:rPr>
        <w:t>2024 г.</w:t>
      </w:r>
    </w:p>
    <w:p w:rsidR="006F62A6" w:rsidRDefault="00FF5D64">
      <w:pPr>
        <w:spacing w:before="120" w:after="120"/>
        <w:jc w:val="both"/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ООО «Интер РАО - ИТ»</w:t>
      </w:r>
    </w:p>
    <w:p w:rsidR="006F62A6" w:rsidRDefault="006F62A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6F62A6" w:rsidRDefault="006F62A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6F62A6" w:rsidRDefault="006F62A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6F62A6" w:rsidRDefault="006F62A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6F62A6" w:rsidRDefault="00FF5D64">
      <w:pPr>
        <w:pStyle w:val="a4"/>
        <w:jc w:val="center"/>
        <w:rPr>
          <w:rFonts w:ascii="Liberation Serif" w:hAnsi="Liberation Serif" w:cs="Liberation Serif"/>
          <w:b/>
          <w:bCs/>
          <w:i/>
          <w:iCs/>
          <w:color w:val="365F91"/>
        </w:rPr>
      </w:pPr>
      <w:r>
        <w:rPr>
          <w:rFonts w:ascii="Liberation Serif" w:hAnsi="Liberation Serif" w:cs="Liberation Serif"/>
          <w:b/>
          <w:bCs/>
          <w:i/>
          <w:iCs/>
          <w:color w:val="365F91"/>
        </w:rPr>
        <w:t>г. Москва, 2024</w:t>
      </w:r>
    </w:p>
    <w:p w:rsidR="006F62A6" w:rsidRDefault="006F62A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6F62A6" w:rsidRDefault="006F62A6">
      <w:pPr>
        <w:pStyle w:val="a6"/>
        <w:rPr>
          <w:rFonts w:ascii="Liberation Serif" w:hAnsi="Liberation Serif" w:cs="Liberation Serif"/>
        </w:rPr>
      </w:pPr>
    </w:p>
    <w:p w:rsidR="006F62A6" w:rsidRDefault="00FF5D64">
      <w:pPr>
        <w:pStyle w:val="a6"/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</w:rPr>
        <w:t>Оглавление</w:t>
      </w:r>
    </w:p>
    <w:p w:rsidR="006F62A6" w:rsidRDefault="006F62A6">
      <w:pPr>
        <w:rPr>
          <w:rFonts w:ascii="Liberation Serif" w:hAnsi="Liberation Serif" w:cs="Liberation Serif"/>
        </w:rPr>
      </w:pPr>
    </w:p>
    <w:p w:rsidR="006F62A6" w:rsidRDefault="00FF5D64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TOC \t "heading 1, 1,heading 2, 2,Заголовк 2 (РЭР), 3"</w:instrText>
      </w:r>
      <w:r>
        <w:rPr>
          <w:rFonts w:ascii="Liberation Serif" w:hAnsi="Liberation Serif" w:cs="Liberation Serif"/>
        </w:rPr>
        <w:fldChar w:fldCharType="separate"/>
      </w:r>
    </w:p>
    <w:p w:rsidR="006F62A6" w:rsidRDefault="00FF5D64">
      <w:pPr>
        <w:pStyle w:val="12"/>
        <w:numPr>
          <w:ilvl w:val="0"/>
          <w:numId w:val="1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ФИНАНСОВЫЕ УСЛОВИЯ РЕАЛИЗАЦИИ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PAGEREF _Toc \h </w:instrTex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>3</w:t>
      </w:r>
      <w:r>
        <w:rPr>
          <w:rFonts w:ascii="Liberation Serif" w:hAnsi="Liberation Serif" w:cs="Liberation Serif"/>
        </w:rPr>
        <w:fldChar w:fldCharType="end"/>
      </w:r>
    </w:p>
    <w:p w:rsidR="006F62A6" w:rsidRDefault="00FF5D64">
      <w:pPr>
        <w:pStyle w:val="12"/>
        <w:numPr>
          <w:ilvl w:val="0"/>
          <w:numId w:val="2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ОПИСАНИЕ ПРЕДЛОЖЕНИЯ</w:t>
      </w:r>
      <w:r>
        <w:rPr>
          <w:rFonts w:ascii="Liberation Serif" w:hAnsi="Liberation Serif" w:cs="Liberation Serif"/>
        </w:rPr>
        <w:tab/>
        <w:t>4</w:t>
      </w:r>
    </w:p>
    <w:p w:rsidR="006F62A6" w:rsidRDefault="00FF5D64">
      <w:pPr>
        <w:pStyle w:val="30"/>
        <w:numPr>
          <w:ilvl w:val="1"/>
          <w:numId w:val="2"/>
        </w:numPr>
        <w:rPr>
          <w:rFonts w:ascii="Liberation Serif" w:eastAsia="Calibri" w:hAnsi="Liberation Serif" w:cs="Liberation Serif"/>
        </w:rPr>
      </w:pPr>
      <w:r>
        <w:rPr>
          <w:rFonts w:ascii="Liberation Serif" w:eastAsia="Calibri" w:hAnsi="Liberation Serif" w:cs="Liberation Serif"/>
        </w:rPr>
        <w:t>ЦЕЛИ</w:t>
      </w:r>
      <w:r>
        <w:rPr>
          <w:rFonts w:ascii="Liberation Serif" w:eastAsia="Calibri" w:hAnsi="Liberation Serif" w:cs="Liberation Serif"/>
        </w:rPr>
        <w:tab/>
        <w:t>4</w:t>
      </w:r>
    </w:p>
    <w:p w:rsidR="006F62A6" w:rsidRDefault="00FF5D64">
      <w:pPr>
        <w:pStyle w:val="30"/>
        <w:ind w:left="0"/>
        <w:rPr>
          <w:rFonts w:ascii="Liberation Serif" w:eastAsia="Calibri" w:hAnsi="Liberation Serif" w:cs="Liberation Serif"/>
        </w:rPr>
      </w:pPr>
      <w:r>
        <w:rPr>
          <w:rFonts w:ascii="Liberation Serif" w:eastAsia="Calibri" w:hAnsi="Liberation Serif" w:cs="Liberation Serif"/>
        </w:rPr>
        <w:t>3.     ОГРАНИЧЕНИЯ И ДОПУЩЕНИЯ</w:t>
      </w:r>
    </w:p>
    <w:p w:rsidR="006F62A6" w:rsidRDefault="00FF5D64">
      <w:pPr>
        <w:pStyle w:val="12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4.     ЗАКЛЮЧИТЕЛЬНЫЕ ПОЛОЖЕНИЯ</w:t>
      </w:r>
      <w:r>
        <w:rPr>
          <w:rFonts w:ascii="Liberation Serif" w:hAnsi="Liberation Serif" w:cs="Liberation Serif"/>
        </w:rPr>
        <w:tab/>
        <w:t>4</w:t>
      </w:r>
    </w:p>
    <w:p w:rsidR="006F62A6" w:rsidRDefault="00FF5D64">
      <w:pPr>
        <w:rPr>
          <w:rFonts w:ascii="Liberation Serif" w:eastAsia="Times New Roman" w:hAnsi="Liberation Serif" w:cs="Liberation Serif"/>
        </w:rPr>
      </w:pPr>
      <w:r>
        <w:rPr>
          <w:rFonts w:ascii="Liberation Serif" w:hAnsi="Liberation Serif" w:cs="Liberation Serif"/>
        </w:rPr>
        <w:fldChar w:fldCharType="end"/>
      </w:r>
    </w:p>
    <w:p w:rsidR="006F62A6" w:rsidRDefault="006F62A6">
      <w:pPr>
        <w:rPr>
          <w:rFonts w:ascii="Liberation Serif" w:eastAsia="Times New Roman" w:hAnsi="Liberation Serif" w:cs="Liberation Serif"/>
        </w:rPr>
      </w:pPr>
    </w:p>
    <w:p w:rsidR="006F62A6" w:rsidRDefault="00FF5D64">
      <w:pPr>
        <w:tabs>
          <w:tab w:val="left" w:pos="7066"/>
        </w:tabs>
        <w:rPr>
          <w:rFonts w:ascii="Liberation Serif" w:hAnsi="Liberation Serif" w:cs="Liberation Serif"/>
        </w:rPr>
        <w:sectPr w:rsidR="006F62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4" w:right="850" w:bottom="1134" w:left="1276" w:header="708" w:footer="0" w:gutter="0"/>
          <w:cols w:space="720"/>
          <w:titlePg/>
          <w:docGrid w:linePitch="360"/>
        </w:sectPr>
      </w:pPr>
      <w:r>
        <w:rPr>
          <w:rFonts w:ascii="Liberation Serif" w:eastAsia="Times New Roman" w:hAnsi="Liberation Serif" w:cs="Liberation Serif"/>
        </w:rPr>
        <w:tab/>
      </w:r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bookmarkStart w:id="2" w:name="_Ref352774167"/>
      <w:r>
        <w:rPr>
          <w:rFonts w:ascii="Liberation Serif" w:hAnsi="Liberation Serif" w:cs="Liberation Serif"/>
          <w:sz w:val="24"/>
          <w:szCs w:val="24"/>
        </w:rPr>
        <w:lastRenderedPageBreak/>
        <w:t>Компания ООО «Интер РАО - ИТ» высоко ценит возможность предоставления прав использования программы для ЭВМ «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и выражает признательность за изучение подготовленного материала.</w:t>
      </w:r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Качественное предоставление широкого спектра услуг доступа к ИТ-системам является приоритетным направлением деятельнос</w:t>
      </w:r>
      <w:r>
        <w:rPr>
          <w:rFonts w:ascii="Liberation Serif" w:hAnsi="Liberation Serif" w:cs="Liberation Serif"/>
          <w:sz w:val="24"/>
          <w:szCs w:val="24"/>
        </w:rPr>
        <w:t>ти ООО «Интер РАО - ИТ».</w:t>
      </w:r>
    </w:p>
    <w:p w:rsidR="006F62A6" w:rsidRDefault="006F62A6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:rsidR="006F62A6" w:rsidRDefault="00FF5D64">
      <w:pPr>
        <w:pStyle w:val="10"/>
        <w:numPr>
          <w:ilvl w:val="0"/>
          <w:numId w:val="9"/>
        </w:numPr>
        <w:spacing w:before="200" w:after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3" w:name="_Toc"/>
      <w:r>
        <w:rPr>
          <w:rFonts w:ascii="Liberation Serif" w:hAnsi="Liberation Serif" w:cs="Liberation Serif"/>
          <w:sz w:val="24"/>
          <w:szCs w:val="24"/>
        </w:rPr>
        <w:t>ФИНАНСОВЫЕ УСЛОВИЯ РЕАЛИЗАЦИИ</w:t>
      </w:r>
      <w:bookmarkEnd w:id="3"/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Компания ООО «Интер РАО - ИТ» предлагает заключение лицензионного договора на предоставление права использования программы для ЭВМ «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</w:t>
      </w:r>
      <w:r>
        <w:rPr>
          <w:rFonts w:ascii="Liberation Serif" w:hAnsi="Liberation Serif" w:cs="Liberation Serif"/>
          <w:sz w:val="24"/>
          <w:szCs w:val="24"/>
        </w:rPr>
        <w:t>У)» (простая неисключительная лицензия).</w:t>
      </w:r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Данная информационная система служит для целей автоматизации корпоративной учетной политики по национальным стандартам бухгалтерского учета для российского периметра компаний Группы «Интер РАО» в части сегментов «Сб</w:t>
      </w:r>
      <w:r>
        <w:rPr>
          <w:rFonts w:ascii="Liberation Serif" w:hAnsi="Liberation Serif" w:cs="Liberation Serif"/>
          <w:sz w:val="24"/>
          <w:szCs w:val="24"/>
        </w:rPr>
        <w:t>ыт» и «Прочие», в том числе с учетом адаптации под требования структуры данных консолидированной отчетности по МСФО, а также корпоративного формата бизнес-плана.</w:t>
      </w:r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Объем лицензионного договора на предоставление прав использования программы для ЭВМ «Типовая т</w:t>
      </w:r>
      <w:r>
        <w:rPr>
          <w:rFonts w:ascii="Liberation Serif" w:hAnsi="Liberation Serif" w:cs="Liberation Serif"/>
          <w:sz w:val="24"/>
          <w:szCs w:val="24"/>
        </w:rPr>
        <w:t>иражная система финансово-экономического управления (ТТС ФЭУ)» включает в себя:</w:t>
      </w:r>
    </w:p>
    <w:p w:rsidR="006F62A6" w:rsidRDefault="00FF5D64">
      <w:pPr>
        <w:pStyle w:val="13"/>
        <w:numPr>
          <w:ilvl w:val="0"/>
          <w:numId w:val="27"/>
        </w:numPr>
        <w:spacing w:before="120" w:after="12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Именные лицензии в количестве 54 шт.</w:t>
      </w:r>
    </w:p>
    <w:p w:rsidR="006F62A6" w:rsidRDefault="00FF5D64">
      <w:pPr>
        <w:pStyle w:val="a7"/>
        <w:numPr>
          <w:ilvl w:val="0"/>
          <w:numId w:val="27"/>
        </w:num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Универсальные лицензии в количестве 1 шт.</w:t>
      </w:r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Срок действия лицензий: с 01.07.2026 по 30.06.2029гг. </w:t>
      </w:r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Срок оплаты: Оплата производится в форме б</w:t>
      </w:r>
      <w:r>
        <w:rPr>
          <w:rFonts w:ascii="Liberation Serif" w:hAnsi="Liberation Serif" w:cs="Liberation Serif"/>
          <w:sz w:val="24"/>
          <w:szCs w:val="24"/>
        </w:rPr>
        <w:t>езналичного расчета путем перечисления денежных средств в следующем порядке:</w:t>
      </w:r>
    </w:p>
    <w:p w:rsidR="006F62A6" w:rsidRDefault="00FF5D64">
      <w:pPr>
        <w:pStyle w:val="13"/>
        <w:numPr>
          <w:ilvl w:val="0"/>
          <w:numId w:val="28"/>
        </w:numPr>
        <w:spacing w:before="120" w:after="12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1/3 стоимости договора в течение 30 (тридцати) календарных дней с даты подписания Акта приема-передачи;</w:t>
      </w:r>
    </w:p>
    <w:p w:rsidR="006F62A6" w:rsidRDefault="00FF5D64">
      <w:pPr>
        <w:pStyle w:val="a7"/>
        <w:numPr>
          <w:ilvl w:val="0"/>
          <w:numId w:val="28"/>
        </w:num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1/3 стоимости</w:t>
      </w:r>
      <w: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</w:rPr>
        <w:t>договора не позднее 31.07.2027 г.</w:t>
      </w:r>
    </w:p>
    <w:p w:rsidR="006F62A6" w:rsidRDefault="00FF5D64">
      <w:pPr>
        <w:pStyle w:val="a7"/>
        <w:numPr>
          <w:ilvl w:val="0"/>
          <w:numId w:val="28"/>
        </w:num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1/3 стоимости договора не п</w:t>
      </w:r>
      <w:r>
        <w:rPr>
          <w:rFonts w:ascii="Liberation Serif" w:eastAsia="Times New Roman" w:hAnsi="Liberation Serif" w:cs="Liberation Serif"/>
          <w:sz w:val="24"/>
          <w:szCs w:val="24"/>
        </w:rPr>
        <w:t>озднее 31.07.2028 г.</w:t>
      </w:r>
    </w:p>
    <w:p w:rsidR="006F62A6" w:rsidRDefault="00FF5D64">
      <w:pPr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Срок поставки: не позднее 30.06.2026 г.</w:t>
      </w:r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Стоимость Лицензионного договора за предоставление права использования программы для ЭВМ «</w:t>
      </w:r>
      <w:r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приведена в Таблице 1.</w:t>
      </w:r>
    </w:p>
    <w:p w:rsidR="006F62A6" w:rsidRDefault="00FF5D64">
      <w:pPr>
        <w:spacing w:before="240" w:after="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                                                                                           Таблица 1. 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419"/>
        <w:gridCol w:w="2128"/>
        <w:gridCol w:w="1417"/>
        <w:gridCol w:w="1408"/>
        <w:gridCol w:w="1144"/>
        <w:gridCol w:w="2551"/>
      </w:tblGrid>
      <w:tr w:rsidR="006F62A6">
        <w:trPr>
          <w:trHeight w:val="1627"/>
        </w:trPr>
        <w:tc>
          <w:tcPr>
            <w:tcW w:w="419" w:type="dxa"/>
            <w:shd w:val="clear" w:color="auto" w:fill="D9D9D9" w:themeFill="background1" w:themeFillShade="D9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bCs/>
              </w:rPr>
              <w:t>№</w:t>
            </w:r>
          </w:p>
        </w:tc>
        <w:tc>
          <w:tcPr>
            <w:tcW w:w="2128" w:type="dxa"/>
            <w:shd w:val="clear" w:color="auto" w:fill="D9D9D9" w:themeFill="background1" w:themeFillShade="D9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Размер Лицензионного вознаграждения за 1 лицензию (руб., в т.ч. НДС 20%)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Срок действия лицензий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 xml:space="preserve">Количество лицензий </w:t>
            </w:r>
          </w:p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Размер Лицензионного вознаграждения (руб., в т.ч. НДС 20 %)</w:t>
            </w:r>
          </w:p>
        </w:tc>
      </w:tr>
      <w:tr w:rsidR="006F62A6">
        <w:trPr>
          <w:trHeight w:val="1499"/>
        </w:trPr>
        <w:tc>
          <w:tcPr>
            <w:tcW w:w="419" w:type="dxa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bCs/>
              </w:rPr>
              <w:lastRenderedPageBreak/>
              <w:t>1</w:t>
            </w:r>
          </w:p>
        </w:tc>
        <w:tc>
          <w:tcPr>
            <w:tcW w:w="2128" w:type="dxa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  <w:r>
              <w:rPr>
                <w:rFonts w:ascii="Liberation Serif" w:eastAsia="Times New Roman" w:hAnsi="Liberation Serif" w:cs="Liberation Serif"/>
                <w:sz w:val="16"/>
                <w:szCs w:val="16"/>
              </w:rPr>
              <w:t xml:space="preserve">Программа для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ЭВМ «</w:t>
            </w:r>
            <w:r>
              <w:rPr>
                <w:rFonts w:ascii="Liberation Serif" w:hAnsi="Liberation Serif" w:cs="Liberation Serif"/>
                <w:color w:val="auto"/>
                <w:sz w:val="16"/>
                <w:szCs w:val="16"/>
              </w:rPr>
              <w:t xml:space="preserve">Типовая тиражная система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финансово-экономического управления (ТТС ФЭУ)» (простая неисключительная именная лицензия)</w:t>
            </w:r>
          </w:p>
        </w:tc>
        <w:tc>
          <w:tcPr>
            <w:tcW w:w="1417" w:type="dxa"/>
          </w:tcPr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 </w:t>
            </w:r>
          </w:p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425 190,97   </w:t>
            </w:r>
          </w:p>
        </w:tc>
        <w:tc>
          <w:tcPr>
            <w:tcW w:w="1408" w:type="dxa"/>
            <w:vMerge w:val="restart"/>
          </w:tcPr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с 01.07.2026</w:t>
            </w:r>
          </w:p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по 30.06.2029</w:t>
            </w:r>
          </w:p>
        </w:tc>
        <w:tc>
          <w:tcPr>
            <w:tcW w:w="1144" w:type="dxa"/>
          </w:tcPr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2551" w:type="dxa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22 960 312,38   </w:t>
            </w:r>
          </w:p>
        </w:tc>
      </w:tr>
      <w:tr w:rsidR="006F62A6">
        <w:trPr>
          <w:trHeight w:val="1189"/>
        </w:trPr>
        <w:tc>
          <w:tcPr>
            <w:tcW w:w="419" w:type="dxa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>
              <w:rPr>
                <w:rFonts w:ascii="Liberation Serif" w:eastAsia="Calibri" w:hAnsi="Liberation Serif" w:cs="Liberation Serif"/>
                <w:b/>
                <w:bCs/>
              </w:rPr>
              <w:t>2</w:t>
            </w:r>
          </w:p>
        </w:tc>
        <w:tc>
          <w:tcPr>
            <w:tcW w:w="2128" w:type="dxa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  <w:r>
              <w:rPr>
                <w:rFonts w:ascii="Liberation Serif" w:eastAsia="Times New Roman" w:hAnsi="Liberation Serif" w:cs="Liberation Serif"/>
                <w:sz w:val="16"/>
                <w:szCs w:val="16"/>
              </w:rPr>
              <w:t>Программа для ЭВМ «Типовая тиражная система финансово-экономического управления (ТТС ФЭУ)» (простая неисключительная универсальная лицензия)</w:t>
            </w:r>
          </w:p>
        </w:tc>
        <w:tc>
          <w:tcPr>
            <w:tcW w:w="1417" w:type="dxa"/>
          </w:tcPr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992 120,88   </w:t>
            </w:r>
          </w:p>
        </w:tc>
        <w:tc>
          <w:tcPr>
            <w:tcW w:w="1408" w:type="dxa"/>
            <w:vMerge/>
          </w:tcPr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</w:tc>
        <w:tc>
          <w:tcPr>
            <w:tcW w:w="1144" w:type="dxa"/>
          </w:tcPr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1</w:t>
            </w:r>
          </w:p>
          <w:p w:rsidR="006F62A6" w:rsidRDefault="006F62A6">
            <w:pPr>
              <w:rPr>
                <w:rFonts w:ascii="Liberation Serif" w:hAnsi="Liberation Serif" w:cs="Liberation Serif"/>
              </w:rPr>
            </w:pPr>
          </w:p>
          <w:p w:rsidR="006F62A6" w:rsidRDefault="00FF5D64">
            <w:pPr>
              <w:tabs>
                <w:tab w:val="left" w:pos="839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2551" w:type="dxa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992 120,88   </w:t>
            </w:r>
          </w:p>
        </w:tc>
      </w:tr>
      <w:tr w:rsidR="006F62A6">
        <w:trPr>
          <w:trHeight w:val="405"/>
        </w:trPr>
        <w:tc>
          <w:tcPr>
            <w:tcW w:w="419" w:type="dxa"/>
          </w:tcPr>
          <w:p w:rsidR="006F62A6" w:rsidRDefault="006F62A6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</w:p>
        </w:tc>
        <w:tc>
          <w:tcPr>
            <w:tcW w:w="6097" w:type="dxa"/>
            <w:gridSpan w:val="4"/>
            <w:vAlign w:val="center"/>
          </w:tcPr>
          <w:p w:rsidR="006F62A6" w:rsidRDefault="00FF5D64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Итого в т.ч. НДС (20%)</w:t>
            </w:r>
          </w:p>
        </w:tc>
        <w:tc>
          <w:tcPr>
            <w:tcW w:w="2551" w:type="dxa"/>
          </w:tcPr>
          <w:p w:rsidR="006F62A6" w:rsidRDefault="00FF5D64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                   23 952 433,26   </w:t>
            </w:r>
          </w:p>
          <w:p w:rsidR="006F62A6" w:rsidRDefault="006F62A6">
            <w:pPr>
              <w:pStyle w:val="a7"/>
              <w:widowControl w:val="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</w:tc>
      </w:tr>
    </w:tbl>
    <w:p w:rsidR="006F62A6" w:rsidRDefault="006F62A6">
      <w:pPr>
        <w:spacing w:before="240" w:after="0"/>
        <w:jc w:val="right"/>
        <w:rPr>
          <w:rFonts w:ascii="Liberation Serif" w:hAnsi="Liberation Serif" w:cs="Liberation Serif"/>
          <w:sz w:val="20"/>
          <w:szCs w:val="20"/>
        </w:rPr>
      </w:pPr>
    </w:p>
    <w:p w:rsidR="006F62A6" w:rsidRDefault="006F62A6">
      <w:pPr>
        <w:spacing w:before="240" w:after="0"/>
        <w:jc w:val="right"/>
        <w:rPr>
          <w:rFonts w:ascii="Liberation Serif" w:hAnsi="Liberation Serif" w:cs="Liberation Serif"/>
          <w:sz w:val="20"/>
          <w:szCs w:val="20"/>
        </w:rPr>
      </w:pPr>
    </w:p>
    <w:p w:rsidR="006F62A6" w:rsidRDefault="00FF5D64">
      <w:pPr>
        <w:pStyle w:val="10"/>
        <w:numPr>
          <w:ilvl w:val="0"/>
          <w:numId w:val="10"/>
        </w:numPr>
        <w:spacing w:before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4" w:name="_Toc1"/>
      <w:r>
        <w:rPr>
          <w:rFonts w:ascii="Liberation Serif" w:hAnsi="Liberation Serif" w:cs="Liberation Serif"/>
          <w:sz w:val="24"/>
          <w:szCs w:val="24"/>
        </w:rPr>
        <w:t>ОПИСАНИЕ ПРЕДЛОЖЕНИЯ</w:t>
      </w:r>
      <w:bookmarkEnd w:id="4"/>
    </w:p>
    <w:bookmarkEnd w:id="2"/>
    <w:p w:rsidR="006F62A6" w:rsidRDefault="00FF5D64">
      <w:pPr>
        <w:pStyle w:val="21"/>
        <w:numPr>
          <w:ilvl w:val="1"/>
          <w:numId w:val="10"/>
        </w:numPr>
        <w:tabs>
          <w:tab w:val="left" w:pos="1440"/>
        </w:tabs>
        <w:spacing w:before="200" w:after="20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Использование в ДО системы ФЭУ позволит:</w:t>
      </w:r>
    </w:p>
    <w:p w:rsidR="006F62A6" w:rsidRDefault="00FF5D64">
      <w:pPr>
        <w:pStyle w:val="a7"/>
        <w:numPr>
          <w:ilvl w:val="0"/>
          <w:numId w:val="26"/>
        </w:numP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Повысить прозрачность и актуальность управленческих данных, оперативно обращаться к аналитике любого уровня в системе ТТС ФЭУ;</w:t>
      </w:r>
    </w:p>
    <w:p w:rsidR="006F62A6" w:rsidRDefault="00FF5D64">
      <w:pPr>
        <w:pStyle w:val="a7"/>
        <w:numPr>
          <w:ilvl w:val="0"/>
          <w:numId w:val="26"/>
        </w:numP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Развивать процессы централизованного управления и сопровождения, применять единые корпоративные стандарты методологии бухгалтерского, налогового учета и учета по МСФО;</w:t>
      </w:r>
    </w:p>
    <w:p w:rsidR="006F62A6" w:rsidRDefault="00FF5D64">
      <w:pPr>
        <w:pStyle w:val="a7"/>
        <w:numPr>
          <w:ilvl w:val="0"/>
          <w:numId w:val="26"/>
        </w:numP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минимизировать риски нарушения качества бухгалтерской и налоговой отчетности и информаци</w:t>
      </w:r>
      <w:r>
        <w:rPr>
          <w:rFonts w:ascii="Liberation Serif" w:eastAsia="Times New Roman" w:hAnsi="Liberation Serif" w:cs="Liberation Serif"/>
          <w:sz w:val="24"/>
          <w:szCs w:val="24"/>
        </w:rPr>
        <w:t>и бизнес-плана Общества, а также устранить риски недостоверности консолидированной отчетности Группы ввиду расхождений учетных принципов по однотипным объектам учета, применяемых компаниями Группы;</w:t>
      </w:r>
    </w:p>
    <w:p w:rsidR="006F62A6" w:rsidRDefault="00FF5D64">
      <w:pPr>
        <w:pStyle w:val="a7"/>
        <w:numPr>
          <w:ilvl w:val="0"/>
          <w:numId w:val="26"/>
        </w:numP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Повысить оперативность взаимодействия и обеспечение скоорд</w:t>
      </w:r>
      <w:r>
        <w:rPr>
          <w:rFonts w:ascii="Liberation Serif" w:eastAsia="Times New Roman" w:hAnsi="Liberation Serif" w:cs="Liberation Serif"/>
          <w:sz w:val="24"/>
          <w:szCs w:val="24"/>
        </w:rPr>
        <w:t>инированной работы специалистов структурных подразделений и предприятий Группы, как следствие - повышение операционного контроля;</w:t>
      </w:r>
    </w:p>
    <w:p w:rsidR="006F62A6" w:rsidRDefault="00FF5D64">
      <w:pPr>
        <w:pStyle w:val="a7"/>
        <w:numPr>
          <w:ilvl w:val="0"/>
          <w:numId w:val="26"/>
        </w:numP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организовать интерфейсы передачи данных в корпоративную систему консолидации отчетности (ИС ПКО) и систему корпоративного план</w:t>
      </w:r>
      <w:r>
        <w:rPr>
          <w:rFonts w:ascii="Liberation Serif" w:eastAsia="Times New Roman" w:hAnsi="Liberation Serif" w:cs="Liberation Serif"/>
          <w:sz w:val="24"/>
          <w:szCs w:val="24"/>
        </w:rPr>
        <w:t>ирования (АСКП);</w:t>
      </w:r>
    </w:p>
    <w:p w:rsidR="006F62A6" w:rsidRDefault="00FF5D64">
      <w:pPr>
        <w:pStyle w:val="a7"/>
        <w:numPr>
          <w:ilvl w:val="0"/>
          <w:numId w:val="26"/>
        </w:numP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выполнять регулярный план-</w:t>
      </w:r>
      <w:proofErr w:type="spellStart"/>
      <w:r>
        <w:rPr>
          <w:rFonts w:ascii="Liberation Serif" w:eastAsia="Times New Roman" w:hAnsi="Liberation Serif" w:cs="Liberation Serif"/>
          <w:sz w:val="24"/>
          <w:szCs w:val="24"/>
        </w:rPr>
        <w:t>фактный</w:t>
      </w:r>
      <w:proofErr w:type="spellEnd"/>
      <w:r>
        <w:rPr>
          <w:rFonts w:ascii="Liberation Serif" w:eastAsia="Times New Roman" w:hAnsi="Liberation Serif" w:cs="Liberation Serif"/>
          <w:sz w:val="24"/>
          <w:szCs w:val="24"/>
        </w:rPr>
        <w:t xml:space="preserve"> анализ в разрезе ПЕ;</w:t>
      </w:r>
    </w:p>
    <w:p w:rsidR="006F62A6" w:rsidRDefault="00FF5D64">
      <w:pPr>
        <w:pStyle w:val="a7"/>
        <w:numPr>
          <w:ilvl w:val="0"/>
          <w:numId w:val="26"/>
        </w:numP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повысить эффективность работы Общества за счет детального и адресного планирования, контроля доходов и расходов (включая расчет плановой и фактической управленческой себестоимости, тар</w:t>
      </w:r>
      <w:r>
        <w:rPr>
          <w:rFonts w:ascii="Liberation Serif" w:eastAsia="Times New Roman" w:hAnsi="Liberation Serif" w:cs="Liberation Serif"/>
          <w:sz w:val="24"/>
          <w:szCs w:val="24"/>
        </w:rPr>
        <w:t>ифного анализа), денежных активов, обязательств, источников финансирования на уровне компании, формирования детализированной управленческой отчетности на уровне Общества;</w:t>
      </w:r>
    </w:p>
    <w:p w:rsidR="006F62A6" w:rsidRDefault="006F62A6">
      <w:pPr>
        <w:spacing w:after="0" w:line="240" w:lineRule="auto"/>
        <w:ind w:left="1068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:rsidR="006F62A6" w:rsidRDefault="00FF5D64">
      <w:pPr>
        <w:pStyle w:val="10"/>
        <w:numPr>
          <w:ilvl w:val="0"/>
          <w:numId w:val="10"/>
        </w:numPr>
        <w:spacing w:before="200" w:after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5" w:name="_Toc22"/>
      <w:r>
        <w:rPr>
          <w:rFonts w:ascii="Liberation Serif" w:hAnsi="Liberation Serif" w:cs="Liberation Serif"/>
          <w:sz w:val="24"/>
          <w:szCs w:val="24"/>
        </w:rPr>
        <w:lastRenderedPageBreak/>
        <w:t xml:space="preserve">ОГРАНИЧЕНИЯ И ДОПУЩЕНИЯ </w:t>
      </w:r>
      <w:bookmarkEnd w:id="5"/>
    </w:p>
    <w:p w:rsidR="006F62A6" w:rsidRDefault="00FF5D64">
      <w:pPr>
        <w:pStyle w:val="a7"/>
        <w:numPr>
          <w:ilvl w:val="0"/>
          <w:numId w:val="22"/>
        </w:numPr>
        <w:rPr>
          <w:rFonts w:ascii="Liberation Serif" w:hAnsi="Liberation Serif" w:cs="Liberation Serif"/>
          <w:sz w:val="24"/>
          <w:szCs w:val="24"/>
        </w:rPr>
      </w:pPr>
      <w:bookmarkStart w:id="6" w:name="_Toc24"/>
      <w:r>
        <w:rPr>
          <w:rFonts w:ascii="Liberation Serif" w:hAnsi="Liberation Serif" w:cs="Liberation Serif"/>
          <w:sz w:val="24"/>
          <w:szCs w:val="24"/>
        </w:rPr>
        <w:t>Стоимость предоставления прав использования программы для ЭВМ «Типовая тиражная система финансово-экономического управления (ТТС ФЭУ)» представлена в ценах 2026 г.</w:t>
      </w:r>
    </w:p>
    <w:p w:rsidR="006F62A6" w:rsidRDefault="00FF5D64">
      <w:pPr>
        <w:pStyle w:val="a7"/>
        <w:numPr>
          <w:ilvl w:val="0"/>
          <w:numId w:val="22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 стоимость ТКП входит исправление ошибок программы для ЭВМ «ТТС ФЭУ» в части устранения неи</w:t>
      </w:r>
      <w:r>
        <w:rPr>
          <w:rFonts w:ascii="Liberation Serif" w:hAnsi="Liberation Serif" w:cs="Liberation Serif"/>
          <w:sz w:val="24"/>
          <w:szCs w:val="24"/>
        </w:rPr>
        <w:t>справности текущей функциональности программного продукта в рамках гарантийного обслуживания.</w:t>
      </w:r>
    </w:p>
    <w:p w:rsidR="006F62A6" w:rsidRDefault="00FF5D64">
      <w:pPr>
        <w:pStyle w:val="a7"/>
        <w:numPr>
          <w:ilvl w:val="0"/>
          <w:numId w:val="22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Изменение/доработка функционала программы для ЭВМ «ТТС ФЭУ» под требования Заказчика не входит в стоимость передаваемых неисключительных прав.</w:t>
      </w:r>
    </w:p>
    <w:p w:rsidR="006F62A6" w:rsidRDefault="00FF5D64">
      <w:pPr>
        <w:pStyle w:val="10"/>
        <w:numPr>
          <w:ilvl w:val="0"/>
          <w:numId w:val="10"/>
        </w:numPr>
        <w:spacing w:before="200" w:after="24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ЗАКЛЮЧИТЕЛЬНЫЕ ПОЛО</w:t>
      </w:r>
      <w:r>
        <w:rPr>
          <w:rFonts w:ascii="Liberation Serif" w:hAnsi="Liberation Serif" w:cs="Liberation Serif"/>
          <w:sz w:val="24"/>
          <w:szCs w:val="24"/>
        </w:rPr>
        <w:t>ЖЕНИЯ</w:t>
      </w:r>
      <w:bookmarkEnd w:id="6"/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Все положения, изложенные в настоящем документе, являются предварительными, и должны обсуждаться сторонами в процессе переговоров.</w:t>
      </w:r>
    </w:p>
    <w:p w:rsidR="006F62A6" w:rsidRDefault="00FF5D64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Выражаем готовность к обсуждению требований и пожеланий Заказчика в части настоящего технико-коммерческого предложения.</w:t>
      </w:r>
    </w:p>
    <w:p w:rsidR="006F62A6" w:rsidRDefault="006F62A6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6F62A6" w:rsidRDefault="00FF5D64">
      <w:pPr>
        <w:tabs>
          <w:tab w:val="right" w:pos="9779"/>
        </w:tabs>
        <w:spacing w:before="120" w:after="12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Генеральный директор </w:t>
      </w:r>
      <w:r>
        <w:rPr>
          <w:rFonts w:ascii="Liberation Serif" w:hAnsi="Liberation Serif" w:cs="Liberation Serif"/>
          <w:sz w:val="24"/>
          <w:szCs w:val="24"/>
        </w:rPr>
        <w:tab/>
        <w:t>Савенков Денис Евгеньевич</w:t>
      </w:r>
    </w:p>
    <w:p w:rsidR="006F62A6" w:rsidRDefault="006F62A6">
      <w:pPr>
        <w:tabs>
          <w:tab w:val="right" w:pos="9355"/>
        </w:tabs>
        <w:spacing w:before="120" w:after="120" w:line="240" w:lineRule="auto"/>
        <w:rPr>
          <w:rFonts w:ascii="Liberation Serif" w:hAnsi="Liberation Serif" w:cs="Liberation Serif"/>
        </w:rPr>
      </w:pPr>
    </w:p>
    <w:sectPr w:rsidR="006F62A6">
      <w:headerReference w:type="default" r:id="rId13"/>
      <w:footerReference w:type="default" r:id="rId14"/>
      <w:pgSz w:w="11900" w:h="16840"/>
      <w:pgMar w:top="1134" w:right="851" w:bottom="1134" w:left="1276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2A6" w:rsidRDefault="00FF5D64">
      <w:pPr>
        <w:spacing w:after="0" w:line="240" w:lineRule="auto"/>
      </w:pPr>
      <w:r>
        <w:separator/>
      </w:r>
    </w:p>
  </w:endnote>
  <w:endnote w:type="continuationSeparator" w:id="0">
    <w:p w:rsidR="006F62A6" w:rsidRDefault="00FF5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A6" w:rsidRDefault="006F62A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A6" w:rsidRDefault="00FF5D64">
    <w:pPr>
      <w:pStyle w:val="a4"/>
      <w:jc w:val="right"/>
    </w:pPr>
    <w:r>
      <w:rPr>
        <w:b/>
        <w:bCs/>
        <w:i/>
        <w:iCs/>
        <w:color w:val="365F91"/>
      </w:rPr>
      <w:fldChar w:fldCharType="begin"/>
    </w:r>
    <w:r>
      <w:rPr>
        <w:b/>
        <w:bCs/>
        <w:i/>
        <w:iCs/>
        <w:color w:val="365F91"/>
      </w:rPr>
      <w:instrText xml:space="preserve"> PAGE </w:instrText>
    </w:r>
    <w:r>
      <w:rPr>
        <w:b/>
        <w:bCs/>
        <w:i/>
        <w:iCs/>
        <w:color w:val="365F91"/>
      </w:rPr>
      <w:fldChar w:fldCharType="separate"/>
    </w:r>
    <w:r>
      <w:rPr>
        <w:b/>
        <w:bCs/>
        <w:i/>
        <w:iCs/>
        <w:color w:val="365F91"/>
      </w:rPr>
      <w:t>2</w:t>
    </w:r>
    <w:r>
      <w:rPr>
        <w:b/>
        <w:bCs/>
        <w:i/>
        <w:iCs/>
        <w:color w:val="365F91"/>
      </w:rPr>
      <w:fldChar w:fldCharType="end"/>
    </w:r>
    <w:r>
      <w:rPr>
        <w:b/>
        <w:bCs/>
        <w:i/>
        <w:iCs/>
        <w:color w:val="365F91"/>
      </w:rPr>
      <w:t xml:space="preserve">                            Технико-коммерческое предложение для ПАО «Тамбовская энергосбытова</w:t>
    </w:r>
    <w:r>
      <w:rPr>
        <w:b/>
        <w:bCs/>
        <w:i/>
        <w:iCs/>
        <w:color w:val="365F91"/>
      </w:rPr>
      <w:t>я компания»/</w:t>
    </w:r>
    <w:r>
      <w:rPr>
        <w:b/>
        <w:bCs/>
        <w:color w:val="365F91"/>
      </w:rPr>
      <w:t xml:space="preserve"> Конфиденциально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A6" w:rsidRDefault="006F62A6">
    <w:pPr>
      <w:pStyle w:val="a4"/>
      <w:jc w:val="center"/>
    </w:pPr>
  </w:p>
  <w:tbl>
    <w:tblPr>
      <w:tblW w:w="0" w:type="auto"/>
      <w:tblInd w:w="710" w:type="dxa"/>
      <w:tblLook w:val="04A0" w:firstRow="1" w:lastRow="0" w:firstColumn="1" w:lastColumn="0" w:noHBand="0" w:noVBand="1"/>
    </w:tblPr>
    <w:tblGrid>
      <w:gridCol w:w="8505"/>
    </w:tblGrid>
    <w:tr w:rsidR="006F62A6">
      <w:trPr>
        <w:trHeight w:val="424"/>
      </w:trPr>
      <w:tc>
        <w:tcPr>
          <w:tcW w:w="8505" w:type="dxa"/>
          <w:shd w:val="clear" w:color="auto" w:fill="auto"/>
          <w:vAlign w:val="center"/>
        </w:tcPr>
        <w:p w:rsidR="006F62A6" w:rsidRDefault="00FF5D64">
          <w:pPr>
            <w:pStyle w:val="a4"/>
            <w:ind w:right="176"/>
            <w:jc w:val="center"/>
            <w:rPr>
              <w:sz w:val="16"/>
              <w:szCs w:val="16"/>
            </w:rPr>
          </w:pPr>
          <w:r>
            <w:rPr>
              <w:color w:val="E16B22"/>
              <w:sz w:val="16"/>
              <w:szCs w:val="16"/>
            </w:rPr>
            <w:t>ОБЩЕСТВО С ОГРАНИЧЕННОЙ ОТВЕТСТВЕННОСТЬЮ «ИНТЕР РАО – ИНФОРМАЦИОННЫЕ ТЕХНОЛОГИИ»</w:t>
          </w:r>
        </w:p>
      </w:tc>
    </w:tr>
  </w:tbl>
  <w:p w:rsidR="006F62A6" w:rsidRDefault="006F62A6">
    <w:pPr>
      <w:pStyle w:val="a4"/>
      <w:shd w:val="clear" w:color="auto" w:fill="F4B083"/>
      <w:ind w:left="3686" w:right="3804" w:hanging="270"/>
      <w:jc w:val="center"/>
      <w:rPr>
        <w:sz w:val="28"/>
        <w:szCs w:val="28"/>
      </w:rPr>
    </w:pPr>
  </w:p>
  <w:p w:rsidR="006F62A6" w:rsidRDefault="006F62A6">
    <w:pPr>
      <w:pStyle w:val="a4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A6" w:rsidRDefault="00FF5D64">
    <w:pPr>
      <w:pStyle w:val="a4"/>
      <w:jc w:val="right"/>
    </w:pPr>
    <w:r>
      <w:rPr>
        <w:b/>
        <w:bCs/>
        <w:i/>
        <w:iCs/>
        <w:color w:val="365F91"/>
      </w:rPr>
      <w:fldChar w:fldCharType="begin"/>
    </w:r>
    <w:r>
      <w:rPr>
        <w:b/>
        <w:bCs/>
        <w:i/>
        <w:iCs/>
        <w:color w:val="365F91"/>
      </w:rPr>
      <w:instrText xml:space="preserve"> PAGE </w:instrText>
    </w:r>
    <w:r>
      <w:rPr>
        <w:b/>
        <w:bCs/>
        <w:i/>
        <w:iCs/>
        <w:color w:val="365F91"/>
      </w:rPr>
      <w:fldChar w:fldCharType="separate"/>
    </w:r>
    <w:r>
      <w:rPr>
        <w:b/>
        <w:bCs/>
        <w:i/>
        <w:iCs/>
        <w:color w:val="365F91"/>
      </w:rPr>
      <w:t>3</w:t>
    </w:r>
    <w:r>
      <w:rPr>
        <w:b/>
        <w:bCs/>
        <w:i/>
        <w:iCs/>
        <w:color w:val="365F91"/>
      </w:rPr>
      <w:fldChar w:fldCharType="end"/>
    </w:r>
    <w:r>
      <w:rPr>
        <w:b/>
        <w:bCs/>
        <w:i/>
        <w:iCs/>
        <w:color w:val="365F91"/>
      </w:rPr>
      <w:t xml:space="preserve">                                        </w:t>
    </w:r>
    <w:r>
      <w:rPr>
        <w:b/>
        <w:bCs/>
        <w:i/>
        <w:iCs/>
        <w:color w:val="365F91"/>
      </w:rPr>
      <w:tab/>
    </w:r>
    <w:r>
      <w:rPr>
        <w:b/>
        <w:bCs/>
        <w:i/>
        <w:iCs/>
        <w:color w:val="365F91"/>
      </w:rPr>
      <w:tab/>
      <w:t xml:space="preserve">              Технико-коммерческое предложение для</w:t>
    </w:r>
  </w:p>
  <w:p w:rsidR="006F62A6" w:rsidRDefault="00FF5D64">
    <w:pPr>
      <w:pStyle w:val="a4"/>
      <w:jc w:val="right"/>
    </w:pPr>
    <w:r>
      <w:rPr>
        <w:b/>
        <w:bCs/>
        <w:i/>
        <w:iCs/>
        <w:color w:val="365F91"/>
      </w:rPr>
      <w:t>ПАО «Тамбовская энергосбытовая компания»/</w:t>
    </w:r>
    <w:r>
      <w:rPr>
        <w:b/>
        <w:bCs/>
        <w:color w:val="365F91"/>
      </w:rPr>
      <w:t>Конфиденциально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2A6" w:rsidRDefault="00FF5D64">
      <w:pPr>
        <w:spacing w:after="0" w:line="240" w:lineRule="auto"/>
      </w:pPr>
      <w:r>
        <w:separator/>
      </w:r>
    </w:p>
  </w:footnote>
  <w:footnote w:type="continuationSeparator" w:id="0">
    <w:p w:rsidR="006F62A6" w:rsidRDefault="00FF5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A6" w:rsidRDefault="006F62A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A6" w:rsidRDefault="006F62A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A6" w:rsidRDefault="00FF5D64">
    <w:pPr>
      <w:tabs>
        <w:tab w:val="center" w:pos="4676"/>
        <w:tab w:val="left" w:pos="9072"/>
      </w:tabs>
      <w:jc w:val="center"/>
    </w:pPr>
    <w:r>
      <w:rPr>
        <w:noProof/>
      </w:rPr>
      <mc:AlternateContent>
        <mc:Choice Requires="wpg">
          <w:drawing>
            <wp:inline distT="0" distB="0" distL="0" distR="0">
              <wp:extent cx="1943100" cy="600075"/>
              <wp:effectExtent l="0" t="0" r="0" b="0"/>
              <wp:docPr id="1" name="officeArt object" descr="\\hq-msfr\usr$\yudin_ka\Documents\ИНТЕР РАО ИТ\Брендбук\Логотипы\1.jp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3741825" name="\\hq-msfr\usr$\yudin_ka\Documents\ИНТЕР РАО ИТ\Брендбук\Логотипы\1.jpg" descr="\\hq-msfr\usr$\yudin_ka\Documents\ИНТЕР РАО ИТ\Брендбук\Логотипы\1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1943100" cy="600075"/>
                      </a:xfrm>
                      <a:prstGeom prst="rect">
                        <a:avLst/>
                      </a:prstGeom>
                      <a:ln w="12700" cap="flat">
                        <a:noFill/>
                        <a:miter lim="400000"/>
                      </a:ln>
                      <a:effectLst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153.00pt;height:47.25pt;mso-wrap-distance-left:0.00pt;mso-wrap-distance-top:0.00pt;mso-wrap-distance-right:0.00pt;mso-wrap-distance-bottom:0.00pt;" stroked="f" strokeweight="1.00pt">
              <v:path textboxrect="0,0,0,0"/>
              <v:imagedata r:id="rId2" o:title=""/>
            </v:shape>
          </w:pict>
        </mc:Fallback>
      </mc:AlternateContent>
    </w:r>
  </w:p>
  <w:p w:rsidR="006F62A6" w:rsidRDefault="00FF5D64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</w:rPr>
    </w:pPr>
    <w:r>
      <w:rPr>
        <w:rFonts w:ascii="Arial Narrow" w:hAnsi="Arial Narrow"/>
        <w:color w:val="365F91"/>
        <w:sz w:val="16"/>
        <w:szCs w:val="16"/>
      </w:rPr>
      <w:t xml:space="preserve">Большая </w:t>
    </w:r>
    <w:proofErr w:type="spellStart"/>
    <w:r>
      <w:rPr>
        <w:rFonts w:ascii="Arial Narrow" w:hAnsi="Arial Narrow"/>
        <w:color w:val="365F91"/>
        <w:sz w:val="16"/>
        <w:szCs w:val="16"/>
      </w:rPr>
      <w:t>Пироговская</w:t>
    </w:r>
    <w:proofErr w:type="spellEnd"/>
    <w:r>
      <w:rPr>
        <w:rFonts w:ascii="Arial Narrow" w:hAnsi="Arial Narrow"/>
        <w:color w:val="365F91"/>
        <w:sz w:val="16"/>
        <w:szCs w:val="16"/>
      </w:rPr>
      <w:t xml:space="preserve"> улица, дом 27, строение 3, Москва, Россия, 119435</w:t>
    </w:r>
  </w:p>
  <w:p w:rsidR="006F62A6" w:rsidRDefault="00FF5D64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  <w:u w:val="single"/>
      </w:rPr>
    </w:pPr>
    <w:r>
      <w:rPr>
        <w:rFonts w:ascii="Arial Narrow" w:hAnsi="Arial Narrow"/>
        <w:color w:val="365F91"/>
        <w:sz w:val="16"/>
        <w:szCs w:val="16"/>
      </w:rPr>
      <w:t>Телефон: +7 (495) 664-88-40 (многоканальный), e-</w:t>
    </w:r>
    <w:proofErr w:type="spellStart"/>
    <w:r>
      <w:rPr>
        <w:rFonts w:ascii="Arial Narrow" w:hAnsi="Arial Narrow"/>
        <w:color w:val="365F91"/>
        <w:sz w:val="16"/>
        <w:szCs w:val="16"/>
      </w:rPr>
      <w:t>mail</w:t>
    </w:r>
    <w:proofErr w:type="spellEnd"/>
    <w:r>
      <w:rPr>
        <w:rFonts w:ascii="Arial Narrow" w:hAnsi="Arial Narrow"/>
        <w:color w:val="365F91"/>
        <w:sz w:val="16"/>
        <w:szCs w:val="16"/>
      </w:rPr>
      <w:t xml:space="preserve">: it@interrao.ru </w:t>
    </w:r>
  </w:p>
  <w:p w:rsidR="006F62A6" w:rsidRDefault="00FF5D64">
    <w:pPr>
      <w:spacing w:after="0" w:line="240" w:lineRule="auto"/>
      <w:jc w:val="center"/>
    </w:pPr>
    <w:r>
      <w:rPr>
        <w:rFonts w:ascii="Arial Narrow" w:hAnsi="Arial Narrow"/>
        <w:color w:val="365F91"/>
        <w:sz w:val="16"/>
        <w:szCs w:val="16"/>
      </w:rPr>
      <w:t>ИНН 7727624244, КПП 770401001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2A6" w:rsidRDefault="006F62A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B6BAB"/>
    <w:multiLevelType w:val="hybridMultilevel"/>
    <w:tmpl w:val="B9D0ECA4"/>
    <w:styleLink w:val="5"/>
    <w:lvl w:ilvl="0" w:tplc="BAFCD83C">
      <w:start w:val="1"/>
      <w:numFmt w:val="bullet"/>
      <w:lvlText w:val="-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4223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774E9BC">
      <w:start w:val="1"/>
      <w:numFmt w:val="bullet"/>
      <w:lvlText w:val="▪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66BCCA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F0EFBC">
      <w:start w:val="1"/>
      <w:numFmt w:val="bullet"/>
      <w:lvlText w:val="¨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A4A3A">
      <w:start w:val="1"/>
      <w:numFmt w:val="bullet"/>
      <w:lvlText w:val="➢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F601498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12282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8B6E7D8">
      <w:start w:val="1"/>
      <w:numFmt w:val="bullet"/>
      <w:lvlText w:val="¨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81E5F04"/>
    <w:multiLevelType w:val="multilevel"/>
    <w:tmpl w:val="09509646"/>
    <w:lvl w:ilvl="0">
      <w:start w:val="1"/>
      <w:numFmt w:val="decimal"/>
      <w:lvlText w:val="%1."/>
      <w:lvlJc w:val="left"/>
      <w:pPr>
        <w:ind w:left="391" w:hanging="39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29" w:hanging="72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03" w:hanging="72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524" w:hanging="1050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015" w:hanging="105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836" w:hanging="1380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657" w:hanging="171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148" w:hanging="1710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5969" w:hanging="2041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4FF5108"/>
    <w:multiLevelType w:val="hybridMultilevel"/>
    <w:tmpl w:val="ED8A500E"/>
    <w:styleLink w:val="3"/>
    <w:lvl w:ilvl="0" w:tplc="BDDE686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78252A">
      <w:start w:val="1"/>
      <w:numFmt w:val="bullet"/>
      <w:lvlText w:val="o"/>
      <w:lvlJc w:val="left"/>
      <w:pPr>
        <w:tabs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124E74E">
      <w:start w:val="1"/>
      <w:numFmt w:val="bullet"/>
      <w:lvlText w:val="▪"/>
      <w:lvlJc w:val="left"/>
      <w:pPr>
        <w:tabs>
          <w:tab w:val="left" w:pos="144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BEB348">
      <w:start w:val="1"/>
      <w:numFmt w:val="bullet"/>
      <w:lvlText w:val="·"/>
      <w:lvlJc w:val="left"/>
      <w:pPr>
        <w:tabs>
          <w:tab w:val="left" w:pos="1440"/>
        </w:tabs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2148482">
      <w:start w:val="1"/>
      <w:numFmt w:val="bullet"/>
      <w:lvlText w:val="o"/>
      <w:lvlJc w:val="left"/>
      <w:pPr>
        <w:tabs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62A4A90">
      <w:start w:val="1"/>
      <w:numFmt w:val="bullet"/>
      <w:lvlText w:val="▪"/>
      <w:lvlJc w:val="left"/>
      <w:pPr>
        <w:tabs>
          <w:tab w:val="left" w:pos="144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2418EA">
      <w:start w:val="1"/>
      <w:numFmt w:val="bullet"/>
      <w:lvlText w:val="·"/>
      <w:lvlJc w:val="left"/>
      <w:pPr>
        <w:tabs>
          <w:tab w:val="left" w:pos="1440"/>
        </w:tabs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A091E0">
      <w:start w:val="1"/>
      <w:numFmt w:val="bullet"/>
      <w:lvlText w:val="o"/>
      <w:lvlJc w:val="left"/>
      <w:pPr>
        <w:tabs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A7CD570">
      <w:start w:val="1"/>
      <w:numFmt w:val="bullet"/>
      <w:lvlText w:val="▪"/>
      <w:lvlJc w:val="left"/>
      <w:pPr>
        <w:tabs>
          <w:tab w:val="left" w:pos="1440"/>
        </w:tabs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C107B8F"/>
    <w:multiLevelType w:val="hybridMultilevel"/>
    <w:tmpl w:val="F6104A64"/>
    <w:lvl w:ilvl="0" w:tplc="A41EB44E">
      <w:start w:val="1"/>
      <w:numFmt w:val="bullet"/>
      <w:lvlText w:val="•"/>
      <w:lvlJc w:val="left"/>
      <w:pPr>
        <w:ind w:left="1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F65A5A">
      <w:start w:val="1"/>
      <w:numFmt w:val="bullet"/>
      <w:lvlText w:val="•"/>
      <w:lvlJc w:val="left"/>
      <w:pPr>
        <w:ind w:left="7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A4CEEBE">
      <w:start w:val="1"/>
      <w:numFmt w:val="bullet"/>
      <w:lvlText w:val="•"/>
      <w:lvlJc w:val="left"/>
      <w:pPr>
        <w:ind w:left="13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6906EB0">
      <w:start w:val="1"/>
      <w:numFmt w:val="bullet"/>
      <w:lvlText w:val="•"/>
      <w:lvlJc w:val="left"/>
      <w:pPr>
        <w:ind w:left="19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DE1A7C">
      <w:start w:val="1"/>
      <w:numFmt w:val="bullet"/>
      <w:lvlText w:val="•"/>
      <w:lvlJc w:val="left"/>
      <w:pPr>
        <w:ind w:left="25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806EA0A">
      <w:start w:val="1"/>
      <w:numFmt w:val="bullet"/>
      <w:lvlText w:val="•"/>
      <w:lvlJc w:val="left"/>
      <w:pPr>
        <w:ind w:left="31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208B3C8">
      <w:start w:val="1"/>
      <w:numFmt w:val="bullet"/>
      <w:lvlText w:val="•"/>
      <w:lvlJc w:val="left"/>
      <w:pPr>
        <w:ind w:left="37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7108054">
      <w:start w:val="1"/>
      <w:numFmt w:val="bullet"/>
      <w:lvlText w:val="•"/>
      <w:lvlJc w:val="left"/>
      <w:pPr>
        <w:ind w:left="43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996E004">
      <w:start w:val="1"/>
      <w:numFmt w:val="bullet"/>
      <w:lvlText w:val="•"/>
      <w:lvlJc w:val="left"/>
      <w:pPr>
        <w:ind w:left="49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025059F"/>
    <w:multiLevelType w:val="hybridMultilevel"/>
    <w:tmpl w:val="984AB3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41535C"/>
    <w:multiLevelType w:val="multilevel"/>
    <w:tmpl w:val="A91AEEC8"/>
    <w:styleLink w:val="1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1C549C0"/>
    <w:multiLevelType w:val="hybridMultilevel"/>
    <w:tmpl w:val="99909EE2"/>
    <w:numStyleLink w:val="8"/>
  </w:abstractNum>
  <w:abstractNum w:abstractNumId="7" w15:restartNumberingAfterBreak="0">
    <w:nsid w:val="521819DC"/>
    <w:multiLevelType w:val="hybridMultilevel"/>
    <w:tmpl w:val="73027EE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90F6B6E"/>
    <w:multiLevelType w:val="hybridMultilevel"/>
    <w:tmpl w:val="4E7EBE9E"/>
    <w:lvl w:ilvl="0" w:tplc="904063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BF1C5B"/>
    <w:multiLevelType w:val="hybridMultilevel"/>
    <w:tmpl w:val="ED8A500E"/>
    <w:numStyleLink w:val="3"/>
  </w:abstractNum>
  <w:abstractNum w:abstractNumId="10" w15:restartNumberingAfterBreak="0">
    <w:nsid w:val="6958220B"/>
    <w:multiLevelType w:val="hybridMultilevel"/>
    <w:tmpl w:val="B9D0ECA4"/>
    <w:numStyleLink w:val="5"/>
  </w:abstractNum>
  <w:abstractNum w:abstractNumId="11" w15:restartNumberingAfterBreak="0">
    <w:nsid w:val="70A96023"/>
    <w:multiLevelType w:val="hybridMultilevel"/>
    <w:tmpl w:val="F35CB3C8"/>
    <w:lvl w:ilvl="0" w:tplc="A3A212A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71714954"/>
    <w:multiLevelType w:val="hybridMultilevel"/>
    <w:tmpl w:val="D6643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03623"/>
    <w:multiLevelType w:val="hybridMultilevel"/>
    <w:tmpl w:val="3B9419FC"/>
    <w:lvl w:ilvl="0" w:tplc="8A707100">
      <w:start w:val="1"/>
      <w:numFmt w:val="bullet"/>
      <w:lvlText w:val="•"/>
      <w:lvlJc w:val="left"/>
      <w:pPr>
        <w:ind w:left="1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764D842">
      <w:start w:val="1"/>
      <w:numFmt w:val="bullet"/>
      <w:lvlText w:val="•"/>
      <w:lvlJc w:val="left"/>
      <w:pPr>
        <w:ind w:left="7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5001BA2">
      <w:start w:val="1"/>
      <w:numFmt w:val="bullet"/>
      <w:lvlText w:val="•"/>
      <w:lvlJc w:val="left"/>
      <w:pPr>
        <w:ind w:left="13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FE0142C">
      <w:start w:val="1"/>
      <w:numFmt w:val="bullet"/>
      <w:lvlText w:val="•"/>
      <w:lvlJc w:val="left"/>
      <w:pPr>
        <w:ind w:left="19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F4687C">
      <w:start w:val="1"/>
      <w:numFmt w:val="bullet"/>
      <w:lvlText w:val="•"/>
      <w:lvlJc w:val="left"/>
      <w:pPr>
        <w:ind w:left="25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344896A">
      <w:start w:val="1"/>
      <w:numFmt w:val="bullet"/>
      <w:lvlText w:val="•"/>
      <w:lvlJc w:val="left"/>
      <w:pPr>
        <w:ind w:left="31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7AA5782">
      <w:start w:val="1"/>
      <w:numFmt w:val="bullet"/>
      <w:lvlText w:val="•"/>
      <w:lvlJc w:val="left"/>
      <w:pPr>
        <w:ind w:left="37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60C3E6">
      <w:start w:val="1"/>
      <w:numFmt w:val="bullet"/>
      <w:lvlText w:val="•"/>
      <w:lvlJc w:val="left"/>
      <w:pPr>
        <w:ind w:left="43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F38B94C">
      <w:start w:val="1"/>
      <w:numFmt w:val="bullet"/>
      <w:lvlText w:val="•"/>
      <w:lvlJc w:val="left"/>
      <w:pPr>
        <w:ind w:left="4926" w:hanging="126"/>
      </w:pPr>
      <w:rPr>
        <w:rFonts w:hAnsi="Arial Unicode MS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A6302B9"/>
    <w:multiLevelType w:val="multilevel"/>
    <w:tmpl w:val="A91AEEC8"/>
    <w:numStyleLink w:val="1"/>
  </w:abstractNum>
  <w:abstractNum w:abstractNumId="15" w15:restartNumberingAfterBreak="0">
    <w:nsid w:val="7DC82CEA"/>
    <w:multiLevelType w:val="hybridMultilevel"/>
    <w:tmpl w:val="99909EE2"/>
    <w:styleLink w:val="8"/>
    <w:lvl w:ilvl="0" w:tplc="6AF0D6D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ED256C6">
      <w:start w:val="1"/>
      <w:numFmt w:val="bullet"/>
      <w:lvlText w:val="o"/>
      <w:lvlJc w:val="left"/>
      <w:pPr>
        <w:tabs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B43242">
      <w:start w:val="1"/>
      <w:numFmt w:val="bullet"/>
      <w:lvlText w:val="▪"/>
      <w:lvlJc w:val="left"/>
      <w:pPr>
        <w:tabs>
          <w:tab w:val="left" w:pos="144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B8AA0A">
      <w:start w:val="1"/>
      <w:numFmt w:val="bullet"/>
      <w:lvlText w:val="·"/>
      <w:lvlJc w:val="left"/>
      <w:pPr>
        <w:tabs>
          <w:tab w:val="left" w:pos="1440"/>
        </w:tabs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88A8DC">
      <w:start w:val="1"/>
      <w:numFmt w:val="bullet"/>
      <w:lvlText w:val="o"/>
      <w:lvlJc w:val="left"/>
      <w:pPr>
        <w:tabs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3DCE24E">
      <w:start w:val="1"/>
      <w:numFmt w:val="bullet"/>
      <w:lvlText w:val="▪"/>
      <w:lvlJc w:val="left"/>
      <w:pPr>
        <w:tabs>
          <w:tab w:val="left" w:pos="144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706082">
      <w:start w:val="1"/>
      <w:numFmt w:val="bullet"/>
      <w:lvlText w:val="·"/>
      <w:lvlJc w:val="left"/>
      <w:pPr>
        <w:tabs>
          <w:tab w:val="left" w:pos="1440"/>
        </w:tabs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3C4E0C0">
      <w:start w:val="1"/>
      <w:numFmt w:val="bullet"/>
      <w:lvlText w:val="o"/>
      <w:lvlJc w:val="left"/>
      <w:pPr>
        <w:tabs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040C7A">
      <w:start w:val="1"/>
      <w:numFmt w:val="bullet"/>
      <w:lvlText w:val="▪"/>
      <w:lvlJc w:val="left"/>
      <w:pPr>
        <w:tabs>
          <w:tab w:val="left" w:pos="1440"/>
        </w:tabs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position w:val="0"/>
        <w:highlight w:val="none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1"/>
    <w:lvlOverride w:ilvl="0">
      <w:startOverride w:val="2"/>
      <w:lvl w:ilvl="0">
        <w:start w:val="2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</w:num>
  <w:num w:numId="3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</w:num>
  <w:num w:numId="4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</w:num>
  <w:num w:numId="5">
    <w:abstractNumId w:val="1"/>
    <w:lvlOverride w:ilvl="0">
      <w:startOverride w:val="3"/>
    </w:lvlOverride>
  </w:num>
  <w:num w:numId="6">
    <w:abstractNumId w:val="1"/>
    <w:lvlOverride w:ilvl="0">
      <w:startOverride w:val="4"/>
    </w:lvlOverride>
  </w:num>
  <w:num w:numId="7">
    <w:abstractNumId w:val="1"/>
    <w:lvlOverride w:ilvl="0">
      <w:startOverride w:val="5"/>
      <w:lvl w:ilvl="0">
        <w:start w:val="5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</w:num>
  <w:num w:numId="8">
    <w:abstractNumId w:val="5"/>
  </w:num>
  <w:num w:numId="9">
    <w:abstractNumId w:val="14"/>
  </w:num>
  <w:num w:numId="10">
    <w:abstractNumId w:val="14"/>
    <w:lvlOverride w:ilvl="0">
      <w:startOverride w:val="2"/>
      <w:lvl w:ilvl="0">
        <w:start w:val="2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</w:num>
  <w:num w:numId="11">
    <w:abstractNumId w:val="2"/>
  </w:num>
  <w:num w:numId="12">
    <w:abstractNumId w:val="9"/>
  </w:num>
  <w:num w:numId="13">
    <w:abstractNumId w:val="15"/>
  </w:num>
  <w:num w:numId="14">
    <w:abstractNumId w:val="6"/>
  </w:num>
  <w:num w:numId="15">
    <w:abstractNumId w:val="14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</w:num>
  <w:num w:numId="16">
    <w:abstractNumId w:val="14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</w:num>
  <w:num w:numId="17">
    <w:abstractNumId w:val="3"/>
  </w:num>
  <w:num w:numId="18">
    <w:abstractNumId w:val="13"/>
  </w:num>
  <w:num w:numId="19">
    <w:abstractNumId w:val="14"/>
    <w:lvlOverride w:ilvl="0">
      <w:startOverride w:val="3"/>
    </w:lvlOverride>
  </w:num>
  <w:num w:numId="20">
    <w:abstractNumId w:val="14"/>
    <w:lvlOverride w:ilvl="0">
      <w:startOverride w:val="4"/>
    </w:lvlOverride>
  </w:num>
  <w:num w:numId="21">
    <w:abstractNumId w:val="0"/>
  </w:num>
  <w:num w:numId="22">
    <w:abstractNumId w:val="10"/>
  </w:num>
  <w:num w:numId="23">
    <w:abstractNumId w:val="14"/>
    <w:lvlOverride w:ilvl="0">
      <w:lvl w:ilvl="0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w w:val="100"/>
          <w:position w:val="0"/>
          <w:highlight w:val="none"/>
          <w:vertAlign w:val="baseline"/>
        </w:rPr>
      </w:lvl>
    </w:lvlOverride>
  </w:num>
  <w:num w:numId="24">
    <w:abstractNumId w:val="4"/>
  </w:num>
  <w:num w:numId="25">
    <w:abstractNumId w:val="11"/>
  </w:num>
  <w:num w:numId="26">
    <w:abstractNumId w:val="7"/>
  </w:num>
  <w:num w:numId="27">
    <w:abstractNumId w:val="12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2A6"/>
    <w:rsid w:val="006F62A6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36DDC-9B7B-400D-BE54-9D534ED7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color w:val="000000"/>
      <w:lang w:eastAsia="ru-RU"/>
    </w:rPr>
  </w:style>
  <w:style w:type="paragraph" w:styleId="10">
    <w:name w:val="heading 1"/>
    <w:next w:val="a"/>
    <w:link w:val="11"/>
    <w:pPr>
      <w:keepNext/>
      <w:keepLines/>
      <w:spacing w:before="480" w:after="0" w:line="276" w:lineRule="auto"/>
      <w:outlineLvl w:val="0"/>
    </w:pPr>
    <w:rPr>
      <w:rFonts w:ascii="Calibri" w:eastAsia="Calibri" w:hAnsi="Calibri" w:cs="Calibri"/>
      <w:b/>
      <w:bCs/>
      <w:color w:val="17365D"/>
      <w:sz w:val="32"/>
      <w:szCs w:val="32"/>
      <w:lang w:eastAsia="ru-RU"/>
    </w:rPr>
  </w:style>
  <w:style w:type="paragraph" w:styleId="2">
    <w:name w:val="heading 2"/>
    <w:next w:val="a"/>
    <w:link w:val="20"/>
    <w:pPr>
      <w:keepNext/>
      <w:keepLines/>
      <w:spacing w:before="200" w:after="0" w:line="276" w:lineRule="auto"/>
      <w:outlineLvl w:val="1"/>
    </w:pPr>
    <w:rPr>
      <w:rFonts w:ascii="Cambria" w:eastAsia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Calibri" w:eastAsia="Calibri" w:hAnsi="Calibri" w:cs="Calibri"/>
      <w:b/>
      <w:bCs/>
      <w:color w:val="17365D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Cambria" w:eastAsia="Cambria" w:hAnsi="Cambria" w:cs="Cambria"/>
      <w:b/>
      <w:bCs/>
      <w:color w:val="4F81BD"/>
      <w:sz w:val="26"/>
      <w:szCs w:val="26"/>
      <w:lang w:eastAsia="ru-RU"/>
    </w:rPr>
  </w:style>
  <w:style w:type="table" w:customStyle="1" w:styleId="TableNormal">
    <w:name w:val="Table Normal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Колонтитулы"/>
    <w:pP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lang w:eastAsia="ru-RU"/>
    </w:rPr>
  </w:style>
  <w:style w:type="paragraph" w:styleId="a4">
    <w:name w:val="footer"/>
    <w:link w:val="a5"/>
    <w:uiPriority w:val="9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Pr>
      <w:rFonts w:ascii="Calibri" w:eastAsia="Calibri" w:hAnsi="Calibri" w:cs="Calibri"/>
      <w:color w:val="000000"/>
      <w:lang w:eastAsia="ru-RU"/>
    </w:rPr>
  </w:style>
  <w:style w:type="paragraph" w:styleId="a6">
    <w:name w:val="TOC Heading"/>
    <w:next w:val="a"/>
    <w:pPr>
      <w:keepNext/>
      <w:keepLines/>
      <w:spacing w:before="480" w:after="0" w:line="276" w:lineRule="auto"/>
    </w:pPr>
    <w:rPr>
      <w:rFonts w:ascii="Calibri" w:eastAsia="Calibri" w:hAnsi="Calibri" w:cs="Calibri"/>
      <w:b/>
      <w:bCs/>
      <w:color w:val="17365D"/>
      <w:sz w:val="32"/>
      <w:szCs w:val="32"/>
      <w:lang w:eastAsia="ru-RU"/>
    </w:rPr>
  </w:style>
  <w:style w:type="paragraph" w:styleId="12">
    <w:name w:val="toc 1"/>
    <w:pPr>
      <w:tabs>
        <w:tab w:val="left" w:pos="440"/>
        <w:tab w:val="right" w:leader="dot" w:pos="9770"/>
      </w:tabs>
      <w:spacing w:after="100" w:line="276" w:lineRule="auto"/>
    </w:pPr>
    <w:rPr>
      <w:rFonts w:ascii="Calibri" w:eastAsia="Calibri" w:hAnsi="Calibri" w:cs="Calibri"/>
      <w:color w:val="000000"/>
      <w:lang w:eastAsia="ru-RU"/>
    </w:rPr>
  </w:style>
  <w:style w:type="paragraph" w:styleId="30">
    <w:name w:val="toc 3"/>
    <w:pPr>
      <w:tabs>
        <w:tab w:val="left" w:pos="880"/>
        <w:tab w:val="right" w:leader="dot" w:pos="9770"/>
      </w:tabs>
      <w:spacing w:after="100" w:line="276" w:lineRule="auto"/>
      <w:ind w:left="220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21">
    <w:name w:val="Заголовк 2 (РЭР)"/>
    <w:pPr>
      <w:keepNext/>
      <w:keepLines/>
      <w:tabs>
        <w:tab w:val="left" w:pos="357"/>
      </w:tabs>
      <w:spacing w:before="360" w:after="240" w:line="276" w:lineRule="auto"/>
      <w:outlineLvl w:val="2"/>
    </w:pPr>
    <w:rPr>
      <w:rFonts w:ascii="Calibri" w:eastAsia="Calibri" w:hAnsi="Calibri" w:cs="Calibri"/>
      <w:b/>
      <w:bCs/>
      <w:color w:val="17365D"/>
      <w:sz w:val="28"/>
      <w:szCs w:val="28"/>
      <w:lang w:eastAsia="ru-RU"/>
    </w:rPr>
  </w:style>
  <w:style w:type="paragraph" w:customStyle="1" w:styleId="13">
    <w:name w:val="Абзац списка1"/>
    <w:pPr>
      <w:spacing w:after="200" w:line="276" w:lineRule="auto"/>
      <w:ind w:left="720"/>
    </w:pPr>
    <w:rPr>
      <w:rFonts w:ascii="Times New Roman" w:eastAsia="Times New Roman" w:hAnsi="Times New Roman" w:cs="Times New Roman"/>
      <w:color w:val="000000"/>
      <w:lang w:eastAsia="ru-RU"/>
    </w:rPr>
  </w:style>
  <w:style w:type="numbering" w:customStyle="1" w:styleId="1">
    <w:name w:val="Импортированный стиль 1"/>
    <w:pPr>
      <w:numPr>
        <w:numId w:val="8"/>
      </w:numPr>
    </w:pPr>
  </w:style>
  <w:style w:type="numbering" w:customStyle="1" w:styleId="3">
    <w:name w:val="Импортированный стиль 3"/>
    <w:pPr>
      <w:numPr>
        <w:numId w:val="11"/>
      </w:numPr>
    </w:pPr>
  </w:style>
  <w:style w:type="numbering" w:customStyle="1" w:styleId="8">
    <w:name w:val="Импортированный стиль 8"/>
    <w:pPr>
      <w:numPr>
        <w:numId w:val="13"/>
      </w:numPr>
    </w:pPr>
  </w:style>
  <w:style w:type="paragraph" w:styleId="a7">
    <w:name w:val="List Paragraph"/>
    <w:aliases w:val="-Абзац списка"/>
    <w:link w:val="a8"/>
    <w:uiPriority w:val="34"/>
    <w:qFormat/>
    <w:pPr>
      <w:spacing w:after="200" w:line="276" w:lineRule="auto"/>
      <w:ind w:left="720"/>
    </w:pPr>
    <w:rPr>
      <w:rFonts w:ascii="Times New Roman" w:eastAsia="Arial Unicode MS" w:hAnsi="Times New Roman" w:cs="Arial Unicode MS"/>
      <w:color w:val="000000"/>
      <w:lang w:eastAsia="ru-RU"/>
    </w:rPr>
  </w:style>
  <w:style w:type="numbering" w:customStyle="1" w:styleId="5">
    <w:name w:val="Импортированный стиль 5"/>
    <w:pPr>
      <w:numPr>
        <w:numId w:val="21"/>
      </w:numPr>
    </w:pPr>
  </w:style>
  <w:style w:type="table" w:styleId="a9">
    <w:name w:val="Table Grid"/>
    <w:basedOn w:val="a1"/>
    <w:uiPriority w:val="59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Calibri" w:eastAsia="Calibri" w:hAnsi="Calibri" w:cs="Calibri"/>
      <w:color w:val="000000"/>
      <w:lang w:eastAsia="ru-RU"/>
    </w:rPr>
  </w:style>
  <w:style w:type="character" w:customStyle="1" w:styleId="a8">
    <w:name w:val="Абзац списка Знак"/>
    <w:aliases w:val="-Абзац списка Знак"/>
    <w:link w:val="a7"/>
    <w:uiPriority w:val="34"/>
    <w:rPr>
      <w:rFonts w:ascii="Times New Roman" w:eastAsia="Arial Unicode MS" w:hAnsi="Times New Roman" w:cs="Arial Unicode MS"/>
      <w:color w:val="000000"/>
      <w:lang w:eastAsia="ru-RU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rFonts w:ascii="Calibri" w:eastAsia="Calibri" w:hAnsi="Calibri" w:cs="Calibri"/>
      <w:b/>
      <w:bCs/>
      <w:color w:val="000000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816</Words>
  <Characters>4657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Interrao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Евгений Александрович</dc:creator>
  <cp:keywords/>
  <dc:description/>
  <cp:lastModifiedBy>Лахарева Елена Викторовна</cp:lastModifiedBy>
  <cp:revision>2</cp:revision>
  <dcterms:created xsi:type="dcterms:W3CDTF">2024-07-09T14:02:00Z</dcterms:created>
  <dcterms:modified xsi:type="dcterms:W3CDTF">2024-07-09T14:02:00Z</dcterms:modified>
</cp:coreProperties>
</file>